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E43A" w14:textId="77777777" w:rsidR="00D6589B" w:rsidRPr="00CD1D3B" w:rsidRDefault="003A6023" w:rsidP="00DC06F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CD1D3B">
        <w:rPr>
          <w:rFonts w:ascii="Arial" w:hAnsi="Arial" w:cs="Arial"/>
          <w:bCs/>
          <w:spacing w:val="-3"/>
          <w:sz w:val="22"/>
          <w:szCs w:val="22"/>
        </w:rPr>
        <w:t xml:space="preserve">When a child who is known to the Department of Child Safety, Youth and Women (DCSYW) dies or suffers a serious physical injury, a two-step review process is undertaken. </w:t>
      </w:r>
      <w:r w:rsidR="00DC06FE" w:rsidRPr="00CD1D3B">
        <w:rPr>
          <w:rFonts w:ascii="Arial" w:hAnsi="Arial" w:cs="Arial"/>
          <w:bCs/>
          <w:spacing w:val="-3"/>
          <w:sz w:val="22"/>
          <w:szCs w:val="22"/>
        </w:rPr>
        <w:t xml:space="preserve">Chapter 7A of the </w:t>
      </w:r>
      <w:r w:rsidR="00DC06FE" w:rsidRPr="00CD1D3B">
        <w:rPr>
          <w:rFonts w:ascii="Arial" w:hAnsi="Arial" w:cs="Arial"/>
          <w:bCs/>
          <w:i/>
          <w:spacing w:val="-3"/>
          <w:sz w:val="22"/>
          <w:szCs w:val="22"/>
        </w:rPr>
        <w:t>Child Protection Act 1999</w:t>
      </w:r>
      <w:r w:rsidR="00DC06FE" w:rsidRPr="00CD1D3B">
        <w:rPr>
          <w:rFonts w:ascii="Arial" w:hAnsi="Arial" w:cs="Arial"/>
          <w:bCs/>
          <w:spacing w:val="-3"/>
          <w:sz w:val="22"/>
          <w:szCs w:val="22"/>
        </w:rPr>
        <w:t xml:space="preserve"> provides a system for the review of the involvement of the </w:t>
      </w:r>
      <w:r w:rsidRPr="00CD1D3B">
        <w:rPr>
          <w:rFonts w:ascii="Arial" w:hAnsi="Arial" w:cs="Arial"/>
          <w:bCs/>
          <w:spacing w:val="-3"/>
          <w:sz w:val="22"/>
          <w:szCs w:val="22"/>
        </w:rPr>
        <w:t>DCSYW</w:t>
      </w:r>
      <w:r w:rsidR="00DC06FE" w:rsidRPr="00CD1D3B">
        <w:rPr>
          <w:rFonts w:ascii="Arial" w:hAnsi="Arial" w:cs="Arial"/>
          <w:bCs/>
          <w:spacing w:val="-3"/>
          <w:sz w:val="22"/>
          <w:szCs w:val="22"/>
        </w:rPr>
        <w:t xml:space="preserve"> with particular children who have since died or suffered serious</w:t>
      </w:r>
      <w:r w:rsidR="00D53422">
        <w:rPr>
          <w:rFonts w:ascii="Arial" w:hAnsi="Arial" w:cs="Arial"/>
          <w:bCs/>
          <w:spacing w:val="-3"/>
          <w:sz w:val="22"/>
          <w:szCs w:val="22"/>
        </w:rPr>
        <w:t xml:space="preserve"> physical</w:t>
      </w:r>
      <w:r w:rsidR="00DC06FE" w:rsidRPr="00CD1D3B">
        <w:rPr>
          <w:rFonts w:ascii="Arial" w:hAnsi="Arial" w:cs="Arial"/>
          <w:bCs/>
          <w:spacing w:val="-3"/>
          <w:sz w:val="22"/>
          <w:szCs w:val="22"/>
        </w:rPr>
        <w:t xml:space="preserve"> injury.</w:t>
      </w:r>
    </w:p>
    <w:p w14:paraId="0D9D58D8" w14:textId="77777777" w:rsidR="000651BC" w:rsidRPr="00A51A90" w:rsidRDefault="00DC06FE" w:rsidP="00A51A9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1A90">
        <w:rPr>
          <w:rFonts w:ascii="Arial" w:hAnsi="Arial" w:cs="Arial"/>
          <w:bCs/>
          <w:spacing w:val="-3"/>
          <w:sz w:val="22"/>
          <w:szCs w:val="22"/>
        </w:rPr>
        <w:t>The system includes a review by the chief executive and a further independent review by a panel of appropriately qualified persons (the Child Death Case Review</w:t>
      </w:r>
      <w:r w:rsidR="00CD1D3B" w:rsidRPr="00A51A90">
        <w:rPr>
          <w:rFonts w:ascii="Arial" w:hAnsi="Arial" w:cs="Arial"/>
          <w:bCs/>
          <w:spacing w:val="-3"/>
          <w:sz w:val="22"/>
          <w:szCs w:val="22"/>
        </w:rPr>
        <w:t xml:space="preserve"> P</w:t>
      </w:r>
      <w:r w:rsidRPr="00A51A90">
        <w:rPr>
          <w:rFonts w:ascii="Arial" w:hAnsi="Arial" w:cs="Arial"/>
          <w:bCs/>
          <w:spacing w:val="-3"/>
          <w:sz w:val="22"/>
          <w:szCs w:val="22"/>
        </w:rPr>
        <w:t>anel).</w:t>
      </w:r>
      <w:r w:rsidR="00A51A90" w:rsidRPr="00A51A9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51A90">
        <w:rPr>
          <w:rFonts w:ascii="Arial" w:hAnsi="Arial" w:cs="Arial"/>
          <w:bCs/>
          <w:spacing w:val="-3"/>
          <w:sz w:val="22"/>
          <w:szCs w:val="22"/>
        </w:rPr>
        <w:t xml:space="preserve">The reviews are required to facilitate ongoing learning and improvement in the provision of services by </w:t>
      </w:r>
      <w:r w:rsidR="00A51A90">
        <w:rPr>
          <w:rFonts w:ascii="Arial" w:hAnsi="Arial" w:cs="Arial"/>
          <w:bCs/>
          <w:spacing w:val="-3"/>
          <w:sz w:val="22"/>
          <w:szCs w:val="22"/>
        </w:rPr>
        <w:t>DCSYW</w:t>
      </w:r>
      <w:r w:rsidRPr="00A51A90">
        <w:rPr>
          <w:rFonts w:ascii="Arial" w:hAnsi="Arial" w:cs="Arial"/>
          <w:bCs/>
          <w:spacing w:val="-3"/>
          <w:sz w:val="22"/>
          <w:szCs w:val="22"/>
        </w:rPr>
        <w:t xml:space="preserve"> and to promote the accountability of the </w:t>
      </w:r>
      <w:r w:rsidR="002424AD" w:rsidRPr="00A51A90">
        <w:rPr>
          <w:rFonts w:ascii="Arial" w:hAnsi="Arial" w:cs="Arial"/>
          <w:bCs/>
          <w:spacing w:val="-3"/>
          <w:sz w:val="22"/>
          <w:szCs w:val="22"/>
        </w:rPr>
        <w:t>department.</w:t>
      </w:r>
    </w:p>
    <w:p w14:paraId="68660CCA" w14:textId="1ED7F0E3" w:rsidR="00D6589B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C06FE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C06FE" w:rsidRPr="00DC06FE">
        <w:rPr>
          <w:rFonts w:ascii="Arial" w:hAnsi="Arial" w:cs="Arial"/>
          <w:sz w:val="22"/>
          <w:szCs w:val="22"/>
          <w:u w:val="single"/>
        </w:rPr>
        <w:t>noted</w:t>
      </w:r>
      <w:r w:rsidR="00DC06FE" w:rsidRPr="00DC06FE">
        <w:rPr>
          <w:rFonts w:ascii="Arial" w:hAnsi="Arial" w:cs="Arial"/>
          <w:sz w:val="22"/>
          <w:szCs w:val="22"/>
        </w:rPr>
        <w:t xml:space="preserve"> the intention of the Minister for Child Safety</w:t>
      </w:r>
      <w:r w:rsidR="00D53422">
        <w:rPr>
          <w:rFonts w:ascii="Arial" w:hAnsi="Arial" w:cs="Arial"/>
          <w:sz w:val="22"/>
          <w:szCs w:val="22"/>
        </w:rPr>
        <w:t>,</w:t>
      </w:r>
      <w:r w:rsidR="00DC06FE" w:rsidRPr="00DC06FE">
        <w:rPr>
          <w:rFonts w:ascii="Arial" w:hAnsi="Arial" w:cs="Arial"/>
          <w:sz w:val="22"/>
          <w:szCs w:val="22"/>
        </w:rPr>
        <w:t xml:space="preserve"> Youth and Women and Minister for the Prevention of Domestic and Family Violence to appoint the following nominees </w:t>
      </w:r>
      <w:r w:rsidR="002424AD">
        <w:rPr>
          <w:rFonts w:ascii="Arial" w:hAnsi="Arial" w:cs="Arial"/>
          <w:sz w:val="22"/>
          <w:szCs w:val="22"/>
        </w:rPr>
        <w:t xml:space="preserve">and positions </w:t>
      </w:r>
      <w:r w:rsidR="00DC06FE" w:rsidRPr="00DC06FE">
        <w:rPr>
          <w:rFonts w:ascii="Arial" w:hAnsi="Arial" w:cs="Arial"/>
          <w:sz w:val="22"/>
          <w:szCs w:val="22"/>
        </w:rPr>
        <w:t xml:space="preserve">to the pool from which a Child Death Case Review Panel </w:t>
      </w:r>
      <w:r w:rsidR="00EC5C24">
        <w:rPr>
          <w:rFonts w:ascii="Arial" w:hAnsi="Arial" w:cs="Arial"/>
          <w:sz w:val="22"/>
          <w:szCs w:val="22"/>
        </w:rPr>
        <w:t>is</w:t>
      </w:r>
      <w:r w:rsidR="00DC06FE" w:rsidRPr="00DC06FE">
        <w:rPr>
          <w:rFonts w:ascii="Arial" w:hAnsi="Arial" w:cs="Arial"/>
          <w:sz w:val="22"/>
          <w:szCs w:val="22"/>
        </w:rPr>
        <w:t xml:space="preserve"> constituted, for a </w:t>
      </w:r>
      <w:r w:rsidR="00DC06FE" w:rsidRPr="00805E91">
        <w:rPr>
          <w:rFonts w:ascii="Arial" w:hAnsi="Arial" w:cs="Arial"/>
          <w:sz w:val="22"/>
          <w:szCs w:val="22"/>
        </w:rPr>
        <w:t>term of two years commencing from 1 February 2019:</w:t>
      </w:r>
      <w:r w:rsidR="00DC06FE" w:rsidRPr="00DC06FE">
        <w:rPr>
          <w:rFonts w:ascii="Arial" w:hAnsi="Arial" w:cs="Arial"/>
          <w:sz w:val="22"/>
          <w:szCs w:val="22"/>
        </w:rPr>
        <w:t xml:space="preserve"> </w:t>
      </w:r>
      <w:r w:rsidRPr="00DC06FE">
        <w:rPr>
          <w:rFonts w:ascii="Arial" w:hAnsi="Arial" w:cs="Arial"/>
          <w:sz w:val="22"/>
          <w:szCs w:val="22"/>
        </w:rPr>
        <w:t xml:space="preserve"> </w:t>
      </w:r>
    </w:p>
    <w:p w14:paraId="2E0595AC" w14:textId="6904CB15" w:rsidR="00A95F27" w:rsidRDefault="00A95F27" w:rsidP="00DC06FE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C5C24">
        <w:rPr>
          <w:rFonts w:ascii="Arial" w:hAnsi="Arial" w:cs="Arial"/>
          <w:i/>
          <w:sz w:val="22"/>
          <w:szCs w:val="22"/>
        </w:rPr>
        <w:t>Re-appointment of specialist member</w:t>
      </w:r>
    </w:p>
    <w:p w14:paraId="274BBDBB" w14:textId="77777777" w:rsidR="00A95F27" w:rsidRPr="00A51A90" w:rsidRDefault="00A95F27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Shanna Quinn</w:t>
      </w:r>
    </w:p>
    <w:p w14:paraId="1FBA6509" w14:textId="77EFC835" w:rsidR="002424AD" w:rsidRDefault="002424AD" w:rsidP="00A51A90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C5C24">
        <w:rPr>
          <w:rFonts w:ascii="Arial" w:hAnsi="Arial" w:cs="Arial"/>
          <w:i/>
          <w:sz w:val="22"/>
          <w:szCs w:val="22"/>
        </w:rPr>
        <w:t>Re-appointment of government members</w:t>
      </w:r>
    </w:p>
    <w:p w14:paraId="4CC2C34A" w14:textId="77777777" w:rsidR="00A51A90" w:rsidRDefault="00DC06FE" w:rsidP="00DC06FE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Ms Nicole Duke</w:t>
      </w:r>
      <w:r w:rsidR="00A51A90">
        <w:rPr>
          <w:rFonts w:ascii="Arial" w:hAnsi="Arial" w:cs="Arial"/>
          <w:sz w:val="22"/>
          <w:szCs w:val="22"/>
        </w:rPr>
        <w:t xml:space="preserve"> – Department of Justice and Attorney-General</w:t>
      </w:r>
    </w:p>
    <w:p w14:paraId="66CAD07D" w14:textId="77777777" w:rsidR="00DC06FE" w:rsidRPr="00A51A90" w:rsidRDefault="00DC06FE" w:rsidP="00DC06FE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Ms Hayley Stevenson</w:t>
      </w:r>
      <w:r w:rsidR="002424AD" w:rsidRPr="00A51A90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–</w:t>
      </w:r>
      <w:r w:rsidR="002424AD" w:rsidRPr="00A51A90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Department of Education and Training</w:t>
      </w:r>
    </w:p>
    <w:p w14:paraId="0DAD26C0" w14:textId="77777777" w:rsidR="00DC06FE" w:rsidRDefault="00DC06FE" w:rsidP="00DC06FE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Stephen Stathis</w:t>
      </w:r>
      <w:r w:rsidR="002424AD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–</w:t>
      </w:r>
      <w:r w:rsidR="002424AD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Queensland Health</w:t>
      </w:r>
    </w:p>
    <w:p w14:paraId="46B45756" w14:textId="77777777" w:rsidR="00DC06FE" w:rsidRDefault="00DC06FE" w:rsidP="00DC06FE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Kirstine Harvie</w:t>
      </w:r>
      <w:r w:rsidR="002424AD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–</w:t>
      </w:r>
      <w:r w:rsidR="002424AD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Department of Housing and Public Works</w:t>
      </w:r>
    </w:p>
    <w:p w14:paraId="0F8751F1" w14:textId="77777777" w:rsidR="00DC06FE" w:rsidRPr="00A51A90" w:rsidRDefault="00DC06FE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Donna Lockyer</w:t>
      </w:r>
      <w:r w:rsidR="002424AD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–</w:t>
      </w:r>
      <w:r w:rsidR="002424AD">
        <w:rPr>
          <w:rFonts w:ascii="Arial" w:hAnsi="Arial" w:cs="Arial"/>
          <w:sz w:val="22"/>
          <w:szCs w:val="22"/>
        </w:rPr>
        <w:t xml:space="preserve"> </w:t>
      </w:r>
      <w:r w:rsidR="00A51A90">
        <w:rPr>
          <w:rFonts w:ascii="Arial" w:hAnsi="Arial" w:cs="Arial"/>
          <w:sz w:val="22"/>
          <w:szCs w:val="22"/>
        </w:rPr>
        <w:t>Department of Communities, Disability Services and Seniors</w:t>
      </w:r>
    </w:p>
    <w:p w14:paraId="555F39E8" w14:textId="44E08274" w:rsidR="002424AD" w:rsidRDefault="002424AD" w:rsidP="00A51A90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C5C24">
        <w:rPr>
          <w:rFonts w:ascii="Arial" w:hAnsi="Arial" w:cs="Arial"/>
          <w:i/>
          <w:sz w:val="22"/>
          <w:szCs w:val="22"/>
        </w:rPr>
        <w:t>Appointment of Department of Child Safety, Youth and Women positions</w:t>
      </w:r>
    </w:p>
    <w:p w14:paraId="413D4B54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Regional Executive Director, North Queensland Region</w:t>
      </w:r>
    </w:p>
    <w:p w14:paraId="677FAB62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Regional Executive Dir</w:t>
      </w:r>
      <w:r>
        <w:rPr>
          <w:rFonts w:ascii="Arial" w:hAnsi="Arial" w:cs="Arial"/>
          <w:sz w:val="22"/>
          <w:szCs w:val="22"/>
        </w:rPr>
        <w:t>ector, Central Queensland Region</w:t>
      </w:r>
    </w:p>
    <w:p w14:paraId="27DEAE96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Regional Executive Director, Moreton Region</w:t>
      </w:r>
    </w:p>
    <w:p w14:paraId="24DC7E1F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Regional Executive Director, South East Region</w:t>
      </w:r>
    </w:p>
    <w:p w14:paraId="39DF25A2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Regional Executive Director, South West Region</w:t>
      </w:r>
    </w:p>
    <w:p w14:paraId="40B37E6F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Director, North Queensland Region</w:t>
      </w:r>
    </w:p>
    <w:p w14:paraId="41064636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Director, Central Queensland Region</w:t>
      </w:r>
    </w:p>
    <w:p w14:paraId="28C04FF3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 (North Coast), Moreton Region</w:t>
      </w:r>
    </w:p>
    <w:p w14:paraId="74C7D7F1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</w:t>
      </w:r>
      <w:r>
        <w:rPr>
          <w:rFonts w:ascii="Arial" w:hAnsi="Arial" w:cs="Arial"/>
          <w:sz w:val="22"/>
          <w:szCs w:val="22"/>
        </w:rPr>
        <w:t>ector (Brisbane), Moreton Region</w:t>
      </w:r>
    </w:p>
    <w:p w14:paraId="31B4415F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 (Logan/Beaudesert), South East Region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3CA70F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 (Gold Coast/Bayside), South East Region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E1EA94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 (Darling Downs), South West Region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F0FA9E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Child and Family Regional Director (West Moreton), South West Region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CB6AD8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Senior Executive Director, Youth Justice Services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CECC71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>Executive Director, Youth Justice Operations and Practice, Youth Justice Services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85DB14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 xml:space="preserve">Executive Director, Child and Family Operations, Service Delivery </w:t>
      </w:r>
    </w:p>
    <w:p w14:paraId="10324172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 xml:space="preserve">Executive Director, Strategy and Partnerships, Strategy </w:t>
      </w:r>
    </w:p>
    <w:p w14:paraId="73056836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 xml:space="preserve">Executive Director, Strategic Policy and Legislation, Strategy </w:t>
      </w:r>
    </w:p>
    <w:p w14:paraId="317BC97E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 xml:space="preserve">Executive Director, Indigenous Strategy and Partnerships, Strategy (Identified) </w:t>
      </w:r>
    </w:p>
    <w:p w14:paraId="74EDB392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 xml:space="preserve">Executive Director, Investment and Commissioning, Strategy </w:t>
      </w:r>
    </w:p>
    <w:p w14:paraId="5E0EEF35" w14:textId="77777777" w:rsidR="00A51A90" w:rsidRPr="00A51A90" w:rsidRDefault="00A51A90" w:rsidP="00A51A90">
      <w:pPr>
        <w:numPr>
          <w:ilvl w:val="0"/>
          <w:numId w:val="2"/>
        </w:numPr>
        <w:ind w:left="811"/>
        <w:jc w:val="both"/>
        <w:rPr>
          <w:rFonts w:ascii="Arial" w:hAnsi="Arial" w:cs="Arial"/>
          <w:sz w:val="22"/>
          <w:szCs w:val="22"/>
        </w:rPr>
      </w:pPr>
      <w:r w:rsidRPr="00A51A90">
        <w:rPr>
          <w:rFonts w:ascii="Arial" w:hAnsi="Arial" w:cs="Arial"/>
          <w:sz w:val="22"/>
          <w:szCs w:val="22"/>
        </w:rPr>
        <w:t xml:space="preserve">Executive Director, Strategy and Delivery Performance, Strategy </w:t>
      </w:r>
    </w:p>
    <w:p w14:paraId="7DFBB82A" w14:textId="77777777" w:rsidR="002424AD" w:rsidRPr="00350A3C" w:rsidRDefault="002424AD" w:rsidP="00A51A90">
      <w:pPr>
        <w:spacing w:before="120"/>
        <w:jc w:val="both"/>
        <w:rPr>
          <w:rFonts w:ascii="Arial" w:hAnsi="Arial" w:cs="Arial"/>
          <w:sz w:val="12"/>
          <w:szCs w:val="12"/>
        </w:rPr>
      </w:pPr>
    </w:p>
    <w:p w14:paraId="3CD52363" w14:textId="77777777"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7BB57D1" w14:textId="77777777" w:rsidR="000651BC" w:rsidRPr="00C266E3" w:rsidRDefault="00DC06FE" w:rsidP="00C266E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0651BC" w:rsidRPr="00C266E3" w:rsidSect="00C266E3">
      <w:headerReference w:type="default" r:id="rId7"/>
      <w:pgSz w:w="11906" w:h="16838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1B1A" w14:textId="77777777" w:rsidR="0091132B" w:rsidRDefault="0091132B" w:rsidP="00D6589B">
      <w:r>
        <w:separator/>
      </w:r>
    </w:p>
  </w:endnote>
  <w:endnote w:type="continuationSeparator" w:id="0">
    <w:p w14:paraId="516A7B50" w14:textId="77777777" w:rsidR="0091132B" w:rsidRDefault="0091132B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AAE1" w14:textId="77777777" w:rsidR="0091132B" w:rsidRDefault="0091132B" w:rsidP="00D6589B">
      <w:r>
        <w:separator/>
      </w:r>
    </w:p>
  </w:footnote>
  <w:footnote w:type="continuationSeparator" w:id="0">
    <w:p w14:paraId="164D8D4D" w14:textId="77777777" w:rsidR="0091132B" w:rsidRDefault="0091132B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24A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567ABA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53034D4" w14:textId="74B1C2FE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E1886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250403" w:rsidRPr="00805E91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15676DBA" w14:textId="77777777" w:rsidR="00CB1501" w:rsidRDefault="002424A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</w:t>
    </w:r>
    <w:r w:rsidR="00250403">
      <w:rPr>
        <w:rFonts w:ascii="Arial" w:hAnsi="Arial" w:cs="Arial"/>
        <w:b/>
        <w:sz w:val="22"/>
        <w:szCs w:val="22"/>
        <w:u w:val="single"/>
      </w:rPr>
      <w:t xml:space="preserve">ppointment of members </w:t>
    </w:r>
    <w:r>
      <w:rPr>
        <w:rFonts w:ascii="Arial" w:hAnsi="Arial" w:cs="Arial"/>
        <w:b/>
        <w:sz w:val="22"/>
        <w:szCs w:val="22"/>
        <w:u w:val="single"/>
      </w:rPr>
      <w:t xml:space="preserve">to </w:t>
    </w:r>
    <w:r w:rsidR="00250403">
      <w:rPr>
        <w:rFonts w:ascii="Arial" w:hAnsi="Arial" w:cs="Arial"/>
        <w:b/>
        <w:sz w:val="22"/>
        <w:szCs w:val="22"/>
        <w:u w:val="single"/>
      </w:rPr>
      <w:t xml:space="preserve">the </w:t>
    </w:r>
    <w:r>
      <w:rPr>
        <w:rFonts w:ascii="Arial" w:hAnsi="Arial" w:cs="Arial"/>
        <w:b/>
        <w:sz w:val="22"/>
        <w:szCs w:val="22"/>
        <w:u w:val="single"/>
      </w:rPr>
      <w:t xml:space="preserve">pool for the </w:t>
    </w:r>
    <w:r w:rsidR="00250403">
      <w:rPr>
        <w:rFonts w:ascii="Arial" w:hAnsi="Arial" w:cs="Arial"/>
        <w:b/>
        <w:sz w:val="22"/>
        <w:szCs w:val="22"/>
        <w:u w:val="single"/>
      </w:rPr>
      <w:t>Child Death Case Review Panel</w:t>
    </w:r>
  </w:p>
  <w:p w14:paraId="3BE941B3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50403">
      <w:rPr>
        <w:rFonts w:ascii="Arial" w:hAnsi="Arial" w:cs="Arial"/>
        <w:b/>
        <w:sz w:val="22"/>
        <w:szCs w:val="22"/>
        <w:u w:val="single"/>
      </w:rPr>
      <w:t xml:space="preserve"> for Child Safety, Youth and Women and Minister for the Prevention of Domestic and Family Violence</w:t>
    </w:r>
  </w:p>
  <w:p w14:paraId="7E8A54A7" w14:textId="77777777" w:rsidR="00CB1501" w:rsidRPr="00C266E3" w:rsidRDefault="00CB1501" w:rsidP="00D6589B">
    <w:pPr>
      <w:pStyle w:val="Header"/>
      <w:pBdr>
        <w:bottom w:val="single" w:sz="4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1808"/>
    <w:multiLevelType w:val="hybridMultilevel"/>
    <w:tmpl w:val="31CEF3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E3CDE"/>
    <w:multiLevelType w:val="hybridMultilevel"/>
    <w:tmpl w:val="9E78F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D19"/>
    <w:multiLevelType w:val="hybridMultilevel"/>
    <w:tmpl w:val="E1CC0FD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651BC"/>
    <w:rsid w:val="00080F8F"/>
    <w:rsid w:val="000A36DE"/>
    <w:rsid w:val="000E4BFF"/>
    <w:rsid w:val="0010384C"/>
    <w:rsid w:val="00174117"/>
    <w:rsid w:val="002424AD"/>
    <w:rsid w:val="00250403"/>
    <w:rsid w:val="003200F3"/>
    <w:rsid w:val="00340AAB"/>
    <w:rsid w:val="00350A3C"/>
    <w:rsid w:val="00364311"/>
    <w:rsid w:val="003A3BDD"/>
    <w:rsid w:val="003A6023"/>
    <w:rsid w:val="00501C66"/>
    <w:rsid w:val="00550873"/>
    <w:rsid w:val="0058731B"/>
    <w:rsid w:val="006B266D"/>
    <w:rsid w:val="006E0BDE"/>
    <w:rsid w:val="00703D3E"/>
    <w:rsid w:val="007265D0"/>
    <w:rsid w:val="00732E22"/>
    <w:rsid w:val="00741C20"/>
    <w:rsid w:val="007F44F4"/>
    <w:rsid w:val="00805E91"/>
    <w:rsid w:val="00904077"/>
    <w:rsid w:val="0091132B"/>
    <w:rsid w:val="00937A4A"/>
    <w:rsid w:val="00944D12"/>
    <w:rsid w:val="009535DD"/>
    <w:rsid w:val="00962F9C"/>
    <w:rsid w:val="009A1CED"/>
    <w:rsid w:val="00A51A90"/>
    <w:rsid w:val="00A95F27"/>
    <w:rsid w:val="00AA4DE7"/>
    <w:rsid w:val="00B8673F"/>
    <w:rsid w:val="00C266E3"/>
    <w:rsid w:val="00C75E67"/>
    <w:rsid w:val="00CB1501"/>
    <w:rsid w:val="00CD1D3B"/>
    <w:rsid w:val="00CD7A50"/>
    <w:rsid w:val="00CF0D8A"/>
    <w:rsid w:val="00D53422"/>
    <w:rsid w:val="00D6589B"/>
    <w:rsid w:val="00DC06FE"/>
    <w:rsid w:val="00DF1513"/>
    <w:rsid w:val="00E369F4"/>
    <w:rsid w:val="00E93D32"/>
    <w:rsid w:val="00EC5C24"/>
    <w:rsid w:val="00F2387B"/>
    <w:rsid w:val="00F45B99"/>
    <w:rsid w:val="00F77CE0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B3C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06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5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51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513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41</TotalTime>
  <Pages>1</Pages>
  <Words>393</Words>
  <Characters>2424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Base>https://www.cabinet.qld.gov.au/documents/2018/Dec/ApptCDCRP/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12</cp:revision>
  <dcterms:created xsi:type="dcterms:W3CDTF">2018-11-07T03:39:00Z</dcterms:created>
  <dcterms:modified xsi:type="dcterms:W3CDTF">2019-12-11T09:10:00Z</dcterms:modified>
  <cp:category>Significant_Appointments,Justice,Child_Protection</cp:category>
</cp:coreProperties>
</file>